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23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74E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233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74E" w:rsidRPr="00CE374E" w:rsidRDefault="00AE1C78" w:rsidP="00CE37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4E">
        <w:rPr>
          <w:rFonts w:ascii="Times New Roman" w:hAnsi="Times New Roman" w:cs="Times New Roman"/>
          <w:sz w:val="24"/>
          <w:szCs w:val="24"/>
        </w:rPr>
        <w:t xml:space="preserve">Об </w:t>
      </w:r>
      <w:r w:rsidR="00CE374E" w:rsidRPr="00CE374E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DB7014">
        <w:rPr>
          <w:rFonts w:ascii="Times New Roman" w:hAnsi="Times New Roman" w:cs="Times New Roman"/>
          <w:sz w:val="24"/>
          <w:szCs w:val="24"/>
        </w:rPr>
        <w:t>П</w:t>
      </w:r>
      <w:r w:rsidR="00CE374E" w:rsidRPr="00CE374E">
        <w:rPr>
          <w:rFonts w:ascii="Times New Roman" w:hAnsi="Times New Roman" w:cs="Times New Roman"/>
          <w:sz w:val="24"/>
          <w:szCs w:val="24"/>
        </w:rPr>
        <w:t>еречня медицинских услуг по диагностике, профилактике</w:t>
      </w:r>
    </w:p>
    <w:p w:rsidR="00CE374E" w:rsidRDefault="00CE374E" w:rsidP="00CE37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4E">
        <w:rPr>
          <w:rFonts w:ascii="Times New Roman" w:hAnsi="Times New Roman" w:cs="Times New Roman"/>
          <w:sz w:val="24"/>
          <w:szCs w:val="24"/>
        </w:rPr>
        <w:t xml:space="preserve">и лечению, оказываемых населению, реализация которых независимо от формы </w:t>
      </w:r>
    </w:p>
    <w:p w:rsidR="00CB2E86" w:rsidRPr="00CE374E" w:rsidRDefault="00CE374E" w:rsidP="00CE37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4E">
        <w:rPr>
          <w:rFonts w:ascii="Times New Roman" w:hAnsi="Times New Roman" w:cs="Times New Roman"/>
          <w:sz w:val="24"/>
          <w:szCs w:val="24"/>
        </w:rPr>
        <w:t>и источника их оплаты не подлежит обложению налогом на добавленную стоимость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593AF1" w:rsidP="00CE374E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C39CD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74E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со статьей 151 части второй Налогового кодекса Республики Южная Осетия 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784047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E86" w:rsidRPr="00CE374E" w:rsidRDefault="00CE374E" w:rsidP="00784047">
      <w:pPr>
        <w:pStyle w:val="a9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="00A45D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E1C78"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прилагаемый </w:t>
      </w:r>
      <w:r w:rsidR="00DB7014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еречень медицинских услуг по диагностике, профилактике и лечению, оказываемых населению, реализация которых независимо от формы и источника их оплаты не подлежит обложению налогом на добавленную стоимость</w:t>
      </w:r>
      <w:r w:rsidR="003C551B" w:rsidRPr="00CE374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E374E" w:rsidRPr="00CE374E" w:rsidRDefault="00CE374E" w:rsidP="00784047">
      <w:pPr>
        <w:pStyle w:val="a9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374E" w:rsidRPr="00CE374E" w:rsidRDefault="00CE374E" w:rsidP="00784047">
      <w:pPr>
        <w:pStyle w:val="a9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="00A45DA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Перечень, утвержденный настоящим Постановлением, применяется </w:t>
      </w:r>
      <w:r w:rsidR="00200233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 правоотношениям, возникшим с 1 января 2019 года. </w:t>
      </w:r>
    </w:p>
    <w:p w:rsidR="008929D4" w:rsidRPr="00CE374E" w:rsidRDefault="008929D4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3C551B" w:rsidRPr="00CE374E" w:rsidRDefault="003C551B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Pr="00CE374E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5D121C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AE1C78" w:rsidRPr="00CE374E" w:rsidRDefault="00AE1C78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74E">
        <w:rPr>
          <w:rFonts w:ascii="Times New Roman" w:hAnsi="Times New Roman" w:cs="Times New Roman"/>
          <w:sz w:val="24"/>
          <w:szCs w:val="24"/>
        </w:rPr>
        <w:br w:type="page"/>
      </w:r>
    </w:p>
    <w:p w:rsidR="00AE1C78" w:rsidRPr="00CE374E" w:rsidRDefault="00CE374E" w:rsidP="0007409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AE1C78" w:rsidRPr="00CE374E" w:rsidRDefault="00AE1C78" w:rsidP="0007409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AE1C78" w:rsidRPr="00CE374E" w:rsidRDefault="00AE1C78" w:rsidP="0007409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AE1C78" w:rsidRPr="00CE374E" w:rsidRDefault="00AE1C78" w:rsidP="00074098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0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74E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года № </w:t>
      </w:r>
      <w:bookmarkStart w:id="1" w:name="Par26"/>
      <w:bookmarkEnd w:id="1"/>
      <w:r w:rsidR="0020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</w:p>
    <w:p w:rsidR="00AE1C78" w:rsidRPr="00CE374E" w:rsidRDefault="00AE1C78" w:rsidP="00CE374E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C78" w:rsidRDefault="00AE1C78" w:rsidP="00CE374E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4098" w:rsidRPr="00CE374E" w:rsidRDefault="00074098" w:rsidP="00CE374E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551B" w:rsidRDefault="003C551B" w:rsidP="00784047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CE374E" w:rsidRPr="00CE374E">
        <w:rPr>
          <w:rFonts w:eastAsia="Times New Roman" w:cs="Times New Roman"/>
          <w:color w:val="000000"/>
          <w:sz w:val="24"/>
          <w:szCs w:val="24"/>
          <w:lang w:eastAsia="ru-RU"/>
        </w:rPr>
        <w:t>ЕРЕЧЕНЬ</w:t>
      </w:r>
    </w:p>
    <w:p w:rsidR="00AE1C78" w:rsidRPr="00CE374E" w:rsidRDefault="00074098" w:rsidP="00784047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медицинских услуг по диагностике, профилактике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и лечению, оказываемых населению, реализация которых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независимо от формы и источника их оплаты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не подлежит обложению налогом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на добавленную стоимость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2" w:name="Par31"/>
      <w:bookmarkEnd w:id="2"/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1. Услуги по диагностике, профилактике и лечению, непосредственно оказываемые населению в рамках</w:t>
      </w:r>
      <w:r w:rsidR="0078404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амбулаторно-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поликлинической медицинской помощи, включая проведение медицинской экспертизы.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2. Услуги по диагностике, профилактике и лечению, непосредственно оказываемые населению в рамках стационарной медицинской помощи, включая проведение медицинской экспертизы.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3. Услуги по диагностике, профилактике и лечению, непосредственно оказываемые населению в дневных стационарах и службами врачей общей (семейной) практики, включая проведение медицинской экспертизы.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4. Услуги по диагностике, профилактике и лечению, непосредственно оказ</w:t>
      </w:r>
      <w:r w:rsidR="00074098">
        <w:rPr>
          <w:rFonts w:eastAsia="Times New Roman" w:cs="Times New Roman"/>
          <w:color w:val="000000"/>
          <w:sz w:val="24"/>
          <w:szCs w:val="24"/>
          <w:lang w:eastAsia="ru-RU"/>
        </w:rPr>
        <w:t>ываемые населению в санаторно-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курортных учреждениях.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5. Услуги по санитарному просвещению, непосредственно оказываемые населению.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374E" w:rsidRPr="00CE374E" w:rsidRDefault="00CE374E" w:rsidP="00CE374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E374E" w:rsidRPr="00CE374E" w:rsidRDefault="00CE374E" w:rsidP="00CE374E">
      <w:pPr>
        <w:pStyle w:val="a9"/>
        <w:tabs>
          <w:tab w:val="left" w:pos="709"/>
        </w:tabs>
        <w:spacing w:after="0" w:line="276" w:lineRule="auto"/>
        <w:ind w:left="284"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к проекту постановления Правительства Республики Южная Осетия</w:t>
      </w:r>
      <w:r w:rsidR="0078404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8404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перечня медицинских услуг по диагностике, профилактике и лечению, оказываемых населению, реализаци</w:t>
      </w:r>
      <w:r w:rsidR="00160F93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которых независимо от формы и источника </w:t>
      </w:r>
      <w:r w:rsidR="0078404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их оплаты не подлежит обложению налогом на добавленную стоимость»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Аб</w:t>
      </w:r>
      <w:r w:rsidR="00160F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зац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3 п</w:t>
      </w:r>
      <w:r w:rsidR="00160F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одпункта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2 п</w:t>
      </w:r>
      <w:r w:rsidR="00160F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ункта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2 статьи 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151 Налогового кодекса Республики Южная Осетия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предусматривает освобождение от налогообложения налогом на добавленную стоимость услуг, оказываемы</w:t>
      </w:r>
      <w:r w:rsidR="00160F93">
        <w:rPr>
          <w:rFonts w:eastAsia="Times New Roman" w:cs="Times New Roman"/>
          <w:color w:val="000000"/>
          <w:sz w:val="24"/>
          <w:szCs w:val="24"/>
          <w:lang w:eastAsia="ru-RU"/>
        </w:rPr>
        <w:t>х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населению, по диагностике, профилактике и лечению независимо от формы и источника их оплаты по перечню, утверждаемому Правительством Республики Южная Осетия.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Предлагаемым проектом постановления Правительства Республики Южная Осетия предлагается утвердить следующий перечень медицинских услуг по диагностике, профилактике и лечению, оказываемых населению, реализаци</w:t>
      </w:r>
      <w:r w:rsidR="00160F93">
        <w:rPr>
          <w:rFonts w:eastAsia="Times New Roman" w:cs="Times New Roman"/>
          <w:color w:val="000000"/>
          <w:sz w:val="24"/>
          <w:szCs w:val="24"/>
          <w:lang w:eastAsia="ru-RU"/>
        </w:rPr>
        <w:t>я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которых независимо от формы и источника их оплаты не подлежит обложению налогом на добавленную стоимость: 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ab/>
        <w:t>Услуги по диагностике, профилактике и лечению непосредственно оказываемые населению в рамках амбулаторно</w:t>
      </w:r>
      <w:r w:rsidR="00160F93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поликлинической медицинской помощи, включая проведение медицинской экспертизы.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ab/>
        <w:t>Услуги по диагностике, профилактике и лечению</w:t>
      </w:r>
      <w:r w:rsidR="00160F93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непосредственно оказываемые населению в рамках стационарной медицинской помощи, включая проведение медицинской экспертизы.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ab/>
        <w:t>Услуги по диагностике, профилактике и лечению</w:t>
      </w:r>
      <w:r w:rsidR="00160F93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непосредственно оказываемые населению в дневных стационарах и службами врачей общей (семейной) практики, включая проведение медицинской экспертизы.</w:t>
      </w:r>
    </w:p>
    <w:p w:rsidR="00CE374E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ab/>
        <w:t>Услуги по диагностике, профилактике и лечению</w:t>
      </w:r>
      <w:r w:rsidR="002254E9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непосредственно ока</w:t>
      </w:r>
      <w:r w:rsidR="00784047">
        <w:rPr>
          <w:rFonts w:eastAsia="Times New Roman" w:cs="Times New Roman"/>
          <w:color w:val="000000"/>
          <w:sz w:val="24"/>
          <w:szCs w:val="24"/>
          <w:lang w:eastAsia="ru-RU"/>
        </w:rPr>
        <w:t>зываемые населению в санаторно-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курортных учреждениях.</w:t>
      </w:r>
    </w:p>
    <w:p w:rsidR="005D121C" w:rsidRPr="00CE374E" w:rsidRDefault="00CE374E" w:rsidP="00CE374E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>5.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ab/>
        <w:t>Услуги по санитарному просвещению</w:t>
      </w:r>
      <w:r w:rsidR="002254E9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непосредственно оказываемы</w:t>
      </w:r>
      <w:r w:rsidR="002254E9">
        <w:rPr>
          <w:rFonts w:eastAsia="Times New Roman" w:cs="Times New Roman"/>
          <w:color w:val="000000"/>
          <w:sz w:val="24"/>
          <w:szCs w:val="24"/>
          <w:lang w:eastAsia="ru-RU"/>
        </w:rPr>
        <w:t>е</w:t>
      </w:r>
      <w:r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населению.</w:t>
      </w:r>
    </w:p>
    <w:sectPr w:rsidR="005D121C" w:rsidRPr="00CE374E" w:rsidSect="00D24A26">
      <w:head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63" w:rsidRDefault="00E63363" w:rsidP="00074C30">
      <w:pPr>
        <w:spacing w:after="0" w:line="240" w:lineRule="auto"/>
      </w:pPr>
      <w:r>
        <w:separator/>
      </w:r>
    </w:p>
  </w:endnote>
  <w:endnote w:type="continuationSeparator" w:id="0">
    <w:p w:rsidR="00E63363" w:rsidRDefault="00E6336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63" w:rsidRDefault="00E63363" w:rsidP="00074C30">
      <w:pPr>
        <w:spacing w:after="0" w:line="240" w:lineRule="auto"/>
      </w:pPr>
      <w:r>
        <w:separator/>
      </w:r>
    </w:p>
  </w:footnote>
  <w:footnote w:type="continuationSeparator" w:id="0">
    <w:p w:rsidR="00E63363" w:rsidRDefault="00E6336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098"/>
    <w:rsid w:val="00074C30"/>
    <w:rsid w:val="000C14FC"/>
    <w:rsid w:val="000D7A16"/>
    <w:rsid w:val="000F0D4E"/>
    <w:rsid w:val="0010796A"/>
    <w:rsid w:val="001115BE"/>
    <w:rsid w:val="0013428A"/>
    <w:rsid w:val="00160F93"/>
    <w:rsid w:val="001855D8"/>
    <w:rsid w:val="00193471"/>
    <w:rsid w:val="001B4804"/>
    <w:rsid w:val="001D27FF"/>
    <w:rsid w:val="001D5E7A"/>
    <w:rsid w:val="001F46A4"/>
    <w:rsid w:val="00200233"/>
    <w:rsid w:val="00216EAC"/>
    <w:rsid w:val="00217475"/>
    <w:rsid w:val="002254E9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0194F"/>
    <w:rsid w:val="00513251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705C84"/>
    <w:rsid w:val="00711E5E"/>
    <w:rsid w:val="00784047"/>
    <w:rsid w:val="007864E1"/>
    <w:rsid w:val="00795FE1"/>
    <w:rsid w:val="007C2C23"/>
    <w:rsid w:val="007C53AD"/>
    <w:rsid w:val="00871A16"/>
    <w:rsid w:val="008929D4"/>
    <w:rsid w:val="00897F12"/>
    <w:rsid w:val="008B3877"/>
    <w:rsid w:val="008B712F"/>
    <w:rsid w:val="008C39CD"/>
    <w:rsid w:val="00900213"/>
    <w:rsid w:val="009026F2"/>
    <w:rsid w:val="009609A6"/>
    <w:rsid w:val="00967D1A"/>
    <w:rsid w:val="00984168"/>
    <w:rsid w:val="00985AE6"/>
    <w:rsid w:val="009C480D"/>
    <w:rsid w:val="009D0803"/>
    <w:rsid w:val="009F4A5F"/>
    <w:rsid w:val="00A45DA1"/>
    <w:rsid w:val="00AC3A4F"/>
    <w:rsid w:val="00AD7EF8"/>
    <w:rsid w:val="00AE1C78"/>
    <w:rsid w:val="00B237BD"/>
    <w:rsid w:val="00B443B1"/>
    <w:rsid w:val="00B47F41"/>
    <w:rsid w:val="00B67EA2"/>
    <w:rsid w:val="00B809BB"/>
    <w:rsid w:val="00B83867"/>
    <w:rsid w:val="00BA1070"/>
    <w:rsid w:val="00BA587E"/>
    <w:rsid w:val="00BB0A59"/>
    <w:rsid w:val="00C06902"/>
    <w:rsid w:val="00C922D1"/>
    <w:rsid w:val="00CA64BC"/>
    <w:rsid w:val="00CB2E86"/>
    <w:rsid w:val="00CB445A"/>
    <w:rsid w:val="00CB4D98"/>
    <w:rsid w:val="00CB7E54"/>
    <w:rsid w:val="00CE3474"/>
    <w:rsid w:val="00CE374E"/>
    <w:rsid w:val="00CE7983"/>
    <w:rsid w:val="00CF0724"/>
    <w:rsid w:val="00D02EAA"/>
    <w:rsid w:val="00D03622"/>
    <w:rsid w:val="00D24A26"/>
    <w:rsid w:val="00D968D1"/>
    <w:rsid w:val="00DB0F24"/>
    <w:rsid w:val="00DB7014"/>
    <w:rsid w:val="00E14310"/>
    <w:rsid w:val="00E24917"/>
    <w:rsid w:val="00E31F44"/>
    <w:rsid w:val="00E4319D"/>
    <w:rsid w:val="00E5268C"/>
    <w:rsid w:val="00E63363"/>
    <w:rsid w:val="00E82C84"/>
    <w:rsid w:val="00E97E14"/>
    <w:rsid w:val="00EB48AD"/>
    <w:rsid w:val="00EE4593"/>
    <w:rsid w:val="00F22F92"/>
    <w:rsid w:val="00F52EF6"/>
    <w:rsid w:val="00F915F1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8086A-5A9B-4F67-BFB9-9522EDCC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2019-11-27T10:14:00Z</cp:lastPrinted>
  <dcterms:created xsi:type="dcterms:W3CDTF">2019-12-05T12:41:00Z</dcterms:created>
  <dcterms:modified xsi:type="dcterms:W3CDTF">2019-12-05T12:41:00Z</dcterms:modified>
</cp:coreProperties>
</file>